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D4D2" w14:textId="77777777" w:rsidR="003D585E" w:rsidRDefault="003D585E" w:rsidP="001A3C25">
      <w:pPr>
        <w:jc w:val="center"/>
        <w:rPr>
          <w:b/>
          <w:bCs/>
          <w:color w:val="0033CC"/>
          <w:sz w:val="40"/>
          <w:szCs w:val="40"/>
        </w:rPr>
      </w:pPr>
    </w:p>
    <w:p w14:paraId="22563B3D" w14:textId="02F84D6C" w:rsidR="001A3C25" w:rsidRPr="003D585E" w:rsidRDefault="003D585E" w:rsidP="001A3C25">
      <w:pPr>
        <w:jc w:val="center"/>
        <w:rPr>
          <w:b/>
          <w:bCs/>
          <w:color w:val="0033CC"/>
          <w:sz w:val="40"/>
          <w:szCs w:val="40"/>
        </w:rPr>
      </w:pPr>
      <w:r w:rsidRPr="003D585E">
        <w:rPr>
          <w:b/>
          <w:bCs/>
          <w:color w:val="0033CC"/>
          <w:sz w:val="40"/>
          <w:szCs w:val="40"/>
        </w:rPr>
        <w:t xml:space="preserve">ANTS </w:t>
      </w:r>
      <w:r w:rsidR="00D6182A" w:rsidRPr="003D585E">
        <w:rPr>
          <w:b/>
          <w:bCs/>
          <w:color w:val="0033CC"/>
          <w:sz w:val="40"/>
          <w:szCs w:val="40"/>
        </w:rPr>
        <w:t xml:space="preserve">Scientific </w:t>
      </w:r>
      <w:r w:rsidRPr="003D585E">
        <w:rPr>
          <w:b/>
          <w:bCs/>
          <w:color w:val="0033CC"/>
          <w:sz w:val="40"/>
          <w:szCs w:val="40"/>
        </w:rPr>
        <w:t>C</w:t>
      </w:r>
      <w:r w:rsidR="00D6182A" w:rsidRPr="003D585E">
        <w:rPr>
          <w:b/>
          <w:bCs/>
          <w:color w:val="0033CC"/>
          <w:sz w:val="40"/>
          <w:szCs w:val="40"/>
        </w:rPr>
        <w:t>ommittee (SC) NNEC 202</w:t>
      </w:r>
      <w:r w:rsidR="001A3C25" w:rsidRPr="003D585E">
        <w:rPr>
          <w:b/>
          <w:bCs/>
          <w:color w:val="0033CC"/>
          <w:sz w:val="40"/>
          <w:szCs w:val="40"/>
        </w:rPr>
        <w:t>5</w:t>
      </w:r>
    </w:p>
    <w:p w14:paraId="56E80E5D" w14:textId="71E7E4A2" w:rsidR="001A3C25" w:rsidRPr="003D585E" w:rsidRDefault="00D6182A" w:rsidP="001A3C25">
      <w:pPr>
        <w:jc w:val="center"/>
        <w:rPr>
          <w:b/>
          <w:bCs/>
          <w:color w:val="0033CC"/>
          <w:sz w:val="36"/>
          <w:szCs w:val="36"/>
        </w:rPr>
      </w:pPr>
      <w:r w:rsidRPr="003D585E">
        <w:rPr>
          <w:b/>
          <w:bCs/>
          <w:color w:val="0033CC"/>
          <w:sz w:val="36"/>
          <w:szCs w:val="36"/>
        </w:rPr>
        <w:t>TOR - Terms of Reference</w:t>
      </w:r>
    </w:p>
    <w:p w14:paraId="3E5BBBE7" w14:textId="77777777" w:rsidR="001A3C25" w:rsidRDefault="001A3C25"/>
    <w:p w14:paraId="3A831985" w14:textId="77777777" w:rsidR="001A3C25" w:rsidRPr="00377AB1" w:rsidRDefault="00D6182A">
      <w:pPr>
        <w:rPr>
          <w:b/>
          <w:bCs/>
          <w:color w:val="0066FF"/>
        </w:rPr>
      </w:pPr>
      <w:r w:rsidRPr="00377AB1">
        <w:rPr>
          <w:b/>
          <w:bCs/>
          <w:color w:val="0033CC"/>
        </w:rPr>
        <w:t>Background</w:t>
      </w:r>
      <w:r w:rsidRPr="00377AB1">
        <w:rPr>
          <w:b/>
          <w:bCs/>
          <w:color w:val="0066FF"/>
        </w:rPr>
        <w:t xml:space="preserve">: </w:t>
      </w:r>
    </w:p>
    <w:p w14:paraId="35B2F1D5" w14:textId="0807CE70" w:rsidR="001A3C25" w:rsidRDefault="00D6182A" w:rsidP="00377AB1">
      <w:pPr>
        <w:jc w:val="both"/>
      </w:pPr>
      <w:r>
        <w:t xml:space="preserve">The Australian Nurse Teachers’ Society (ANTS) supports a </w:t>
      </w:r>
      <w:r w:rsidR="00C06E1E">
        <w:t>Na</w:t>
      </w:r>
      <w:r>
        <w:t xml:space="preserve">tional </w:t>
      </w:r>
      <w:r w:rsidR="00C06E1E">
        <w:t>Nurse Educators’ C</w:t>
      </w:r>
      <w:r>
        <w:t xml:space="preserve">onference </w:t>
      </w:r>
      <w:r w:rsidR="00C06E1E">
        <w:t xml:space="preserve">(NNEC) </w:t>
      </w:r>
      <w:r>
        <w:t xml:space="preserve">held every two years. The conference provides an opportunity for health professionals involved in nursing and midwifery education to gather and share their research, projects and ideas towards improving education and learning for nurses and midwives. </w:t>
      </w:r>
    </w:p>
    <w:p w14:paraId="333CA8F1" w14:textId="77777777" w:rsidR="001A3C25" w:rsidRPr="00377AB1" w:rsidRDefault="00D6182A">
      <w:pPr>
        <w:rPr>
          <w:b/>
          <w:bCs/>
          <w:color w:val="0033CC"/>
        </w:rPr>
      </w:pPr>
      <w:r w:rsidRPr="00377AB1">
        <w:rPr>
          <w:b/>
          <w:bCs/>
          <w:color w:val="0033CC"/>
        </w:rPr>
        <w:t xml:space="preserve">Purpose of the Scientific Committee (SC): </w:t>
      </w:r>
    </w:p>
    <w:p w14:paraId="17C4F8B5" w14:textId="7D5DCB90" w:rsidR="001A3C25" w:rsidRDefault="00C06E1E" w:rsidP="00377AB1">
      <w:pPr>
        <w:jc w:val="both"/>
      </w:pPr>
      <w:r>
        <w:t xml:space="preserve">The purpose of the Scientific Committee is </w:t>
      </w:r>
      <w:r w:rsidR="00D6182A">
        <w:t xml:space="preserve">to promote the scientific quality and rigor of the </w:t>
      </w:r>
      <w:r w:rsidR="00377AB1">
        <w:t>conference and</w:t>
      </w:r>
      <w:r w:rsidR="00D6182A">
        <w:t xml:space="preserve"> encourage challenging discussions within the scope of the conference themes. Key responsibilities and scope: This will involve the following activities: </w:t>
      </w:r>
    </w:p>
    <w:p w14:paraId="7E6D2A4D" w14:textId="474BB3E7" w:rsidR="001A3C25" w:rsidRDefault="00D6182A" w:rsidP="00377AB1">
      <w:pPr>
        <w:pStyle w:val="ListParagraph"/>
        <w:numPr>
          <w:ilvl w:val="0"/>
          <w:numId w:val="1"/>
        </w:numPr>
        <w:jc w:val="both"/>
      </w:pPr>
      <w:r>
        <w:t xml:space="preserve">Review abstracts </w:t>
      </w:r>
    </w:p>
    <w:p w14:paraId="48237840" w14:textId="6C8C0B2D" w:rsidR="001A3C25" w:rsidRDefault="00D6182A" w:rsidP="00377AB1">
      <w:pPr>
        <w:pStyle w:val="ListParagraph"/>
        <w:numPr>
          <w:ilvl w:val="0"/>
          <w:numId w:val="1"/>
        </w:numPr>
        <w:jc w:val="both"/>
      </w:pPr>
      <w:r>
        <w:t xml:space="preserve">Develop conference Program </w:t>
      </w:r>
    </w:p>
    <w:p w14:paraId="23F85750" w14:textId="3FDE4955" w:rsidR="001A3C25" w:rsidRDefault="00D6182A" w:rsidP="00377AB1">
      <w:pPr>
        <w:pStyle w:val="ListParagraph"/>
        <w:numPr>
          <w:ilvl w:val="0"/>
          <w:numId w:val="1"/>
        </w:numPr>
        <w:jc w:val="both"/>
      </w:pPr>
      <w:r>
        <w:t xml:space="preserve">Develop processes and procedures related to the scholarship of the conference and the SC activities </w:t>
      </w:r>
    </w:p>
    <w:p w14:paraId="1E004CD5" w14:textId="77777777" w:rsidR="001A3C25" w:rsidRPr="00377AB1" w:rsidRDefault="00D6182A">
      <w:pPr>
        <w:rPr>
          <w:b/>
          <w:bCs/>
          <w:color w:val="0033CC"/>
        </w:rPr>
      </w:pPr>
      <w:r w:rsidRPr="00377AB1">
        <w:rPr>
          <w:b/>
          <w:bCs/>
          <w:color w:val="0033CC"/>
        </w:rPr>
        <w:t xml:space="preserve">Membership: </w:t>
      </w:r>
    </w:p>
    <w:p w14:paraId="1482117C" w14:textId="191FDEA8" w:rsidR="001A3C25" w:rsidRDefault="00D6182A" w:rsidP="00377AB1">
      <w:pPr>
        <w:jc w:val="both"/>
      </w:pPr>
      <w:r>
        <w:t>The committee will be governed by a Chair and 8</w:t>
      </w:r>
      <w:r w:rsidR="00C06E1E">
        <w:t xml:space="preserve"> </w:t>
      </w:r>
      <w:r>
        <w:t>-</w:t>
      </w:r>
      <w:r w:rsidR="00C06E1E">
        <w:t xml:space="preserve"> </w:t>
      </w:r>
      <w:r>
        <w:t>10 expert members. A balanced composition will be sought in the membership of the Scientific Committee in relation to different fields of nursing and midwifery, different learners, and different roles within education.</w:t>
      </w:r>
    </w:p>
    <w:p w14:paraId="7ADADE30" w14:textId="77777777" w:rsidR="001A3C25" w:rsidRPr="00377AB1" w:rsidRDefault="00D6182A">
      <w:pPr>
        <w:rPr>
          <w:b/>
          <w:bCs/>
          <w:color w:val="0033CC"/>
        </w:rPr>
      </w:pPr>
      <w:r w:rsidRPr="00377AB1">
        <w:rPr>
          <w:b/>
          <w:bCs/>
          <w:color w:val="0033CC"/>
        </w:rPr>
        <w:t xml:space="preserve">Meetings: </w:t>
      </w:r>
    </w:p>
    <w:p w14:paraId="1EDB7C30" w14:textId="7AB4B365" w:rsidR="001A3C25" w:rsidRDefault="00D6182A" w:rsidP="00377AB1">
      <w:pPr>
        <w:jc w:val="both"/>
      </w:pPr>
      <w:r>
        <w:t>The SC will meet regularly before the start of the conference via Zoom</w:t>
      </w:r>
      <w:r w:rsidR="00C06E1E">
        <w:t xml:space="preserve"> </w:t>
      </w:r>
      <w:r>
        <w:t>/</w:t>
      </w:r>
      <w:r w:rsidR="00C06E1E">
        <w:t xml:space="preserve"> </w:t>
      </w:r>
      <w:r>
        <w:t xml:space="preserve">Skype or teleconference. </w:t>
      </w:r>
    </w:p>
    <w:p w14:paraId="3258022F" w14:textId="77777777" w:rsidR="001A3C25" w:rsidRPr="00377AB1" w:rsidRDefault="00D6182A">
      <w:pPr>
        <w:rPr>
          <w:b/>
          <w:bCs/>
          <w:color w:val="0033CC"/>
        </w:rPr>
      </w:pPr>
      <w:r w:rsidRPr="00377AB1">
        <w:rPr>
          <w:b/>
          <w:bCs/>
          <w:color w:val="0033CC"/>
        </w:rPr>
        <w:t xml:space="preserve">Reporting: </w:t>
      </w:r>
    </w:p>
    <w:p w14:paraId="62233C35" w14:textId="6D1697F9" w:rsidR="001A3C25" w:rsidRDefault="00D6182A" w:rsidP="00377AB1">
      <w:pPr>
        <w:jc w:val="both"/>
      </w:pPr>
      <w:r>
        <w:t xml:space="preserve">The committee reports to the Executive </w:t>
      </w:r>
      <w:r w:rsidR="00C06E1E">
        <w:t>C</w:t>
      </w:r>
      <w:r>
        <w:t xml:space="preserve">ommittee of the ANTS and will submit regular reports on progress and activities. </w:t>
      </w:r>
    </w:p>
    <w:p w14:paraId="35194573" w14:textId="77777777" w:rsidR="00377AB1" w:rsidRDefault="00377AB1"/>
    <w:p w14:paraId="5DECB76C" w14:textId="704A72A4" w:rsidR="001A3C25" w:rsidRPr="00377AB1" w:rsidRDefault="00D6182A">
      <w:pPr>
        <w:rPr>
          <w:b/>
          <w:bCs/>
          <w:color w:val="0033CC"/>
        </w:rPr>
      </w:pPr>
      <w:r w:rsidRPr="00377AB1">
        <w:rPr>
          <w:b/>
          <w:bCs/>
          <w:color w:val="0033CC"/>
        </w:rPr>
        <w:t>Outcomes</w:t>
      </w:r>
      <w:r w:rsidR="00377AB1" w:rsidRPr="00377AB1">
        <w:rPr>
          <w:b/>
          <w:bCs/>
          <w:color w:val="0033CC"/>
        </w:rPr>
        <w:t xml:space="preserve"> </w:t>
      </w:r>
      <w:r w:rsidRPr="00377AB1">
        <w:rPr>
          <w:b/>
          <w:bCs/>
          <w:color w:val="0033CC"/>
        </w:rPr>
        <w:t>/</w:t>
      </w:r>
      <w:r w:rsidR="00377AB1" w:rsidRPr="00377AB1">
        <w:rPr>
          <w:b/>
          <w:bCs/>
          <w:color w:val="0033CC"/>
        </w:rPr>
        <w:t xml:space="preserve"> </w:t>
      </w:r>
      <w:r w:rsidRPr="00377AB1">
        <w:rPr>
          <w:b/>
          <w:bCs/>
          <w:color w:val="0033CC"/>
        </w:rPr>
        <w:t xml:space="preserve">Activities </w:t>
      </w:r>
    </w:p>
    <w:p w14:paraId="07C114D1" w14:textId="63172304" w:rsidR="001A3C25" w:rsidRDefault="001A3C25" w:rsidP="003D585E">
      <w:pPr>
        <w:jc w:val="center"/>
      </w:pPr>
      <w:r w:rsidRPr="00377AB1">
        <w:rPr>
          <w:color w:val="0033CC"/>
        </w:rPr>
        <w:t>Key</w:t>
      </w:r>
      <w:r>
        <w:t>:</w:t>
      </w:r>
    </w:p>
    <w:p w14:paraId="739F3023" w14:textId="1EDA0927" w:rsidR="00377AB1" w:rsidRDefault="001A3C25" w:rsidP="003D585E">
      <w:pPr>
        <w:ind w:left="2880"/>
      </w:pPr>
      <w:r w:rsidRPr="003D585E">
        <w:rPr>
          <w:b/>
          <w:bCs/>
          <w:color w:val="2E74B5" w:themeColor="accent5" w:themeShade="BF"/>
        </w:rPr>
        <w:t>SC</w:t>
      </w:r>
      <w:r w:rsidR="00377AB1">
        <w:tab/>
      </w:r>
      <w:r>
        <w:t>=</w:t>
      </w:r>
      <w:r w:rsidR="00377AB1">
        <w:tab/>
      </w:r>
      <w:r>
        <w:t xml:space="preserve">Scientific </w:t>
      </w:r>
      <w:r w:rsidR="00377AB1">
        <w:t>Committee</w:t>
      </w:r>
    </w:p>
    <w:p w14:paraId="2D9DDDE8" w14:textId="183B4E31" w:rsidR="00377AB1" w:rsidRDefault="00377AB1" w:rsidP="003D585E">
      <w:pPr>
        <w:ind w:left="2880"/>
      </w:pPr>
      <w:r>
        <w:t>Chair</w:t>
      </w:r>
      <w:r>
        <w:tab/>
        <w:t>=</w:t>
      </w:r>
      <w:r>
        <w:tab/>
        <w:t>Chair of Scientific Committee</w:t>
      </w:r>
    </w:p>
    <w:p w14:paraId="3571C480" w14:textId="0CD0ABE9" w:rsidR="00377AB1" w:rsidRDefault="001A3C25" w:rsidP="003D585E">
      <w:pPr>
        <w:ind w:left="2880"/>
      </w:pPr>
      <w:r>
        <w:t>DCC</w:t>
      </w:r>
      <w:r w:rsidR="00377AB1">
        <w:tab/>
      </w:r>
      <w:r>
        <w:t>=</w:t>
      </w:r>
      <w:r w:rsidR="00377AB1">
        <w:tab/>
      </w:r>
      <w:r>
        <w:t xml:space="preserve">DC Conferences </w:t>
      </w:r>
    </w:p>
    <w:p w14:paraId="09A73862" w14:textId="4E59DED7" w:rsidR="00377AB1" w:rsidRDefault="001A3C25">
      <w:r>
        <w:t>These outcomes and activities may change to meet new needs or developments.</w:t>
      </w:r>
    </w:p>
    <w:p w14:paraId="51CD5C47" w14:textId="77777777" w:rsidR="001A3C25" w:rsidRDefault="001A3C25"/>
    <w:tbl>
      <w:tblPr>
        <w:tblStyle w:val="TableGrid"/>
        <w:tblW w:w="0" w:type="auto"/>
        <w:tblLook w:val="04A0" w:firstRow="1" w:lastRow="0" w:firstColumn="1" w:lastColumn="0" w:noHBand="0" w:noVBand="1"/>
      </w:tblPr>
      <w:tblGrid>
        <w:gridCol w:w="1980"/>
        <w:gridCol w:w="4030"/>
        <w:gridCol w:w="3006"/>
      </w:tblGrid>
      <w:tr w:rsidR="00377AB1" w14:paraId="4A1FB7A6" w14:textId="77777777" w:rsidTr="00377AB1">
        <w:tc>
          <w:tcPr>
            <w:tcW w:w="1980" w:type="dxa"/>
            <w:vMerge w:val="restart"/>
          </w:tcPr>
          <w:p w14:paraId="132C3F42" w14:textId="18209386" w:rsidR="00377AB1" w:rsidRPr="00377AB1" w:rsidRDefault="00377AB1" w:rsidP="00377AB1">
            <w:pPr>
              <w:pStyle w:val="ListParagraph"/>
              <w:numPr>
                <w:ilvl w:val="0"/>
                <w:numId w:val="3"/>
              </w:numPr>
              <w:rPr>
                <w:color w:val="0033CC"/>
              </w:rPr>
            </w:pPr>
            <w:r w:rsidRPr="00377AB1">
              <w:rPr>
                <w:color w:val="0033CC"/>
              </w:rPr>
              <w:t>Committee</w:t>
            </w:r>
          </w:p>
        </w:tc>
        <w:tc>
          <w:tcPr>
            <w:tcW w:w="4030" w:type="dxa"/>
          </w:tcPr>
          <w:p w14:paraId="7F3415D8" w14:textId="77777777" w:rsidR="00377AB1" w:rsidRDefault="00377AB1" w:rsidP="00377AB1">
            <w:pPr>
              <w:pStyle w:val="ListParagraph"/>
              <w:numPr>
                <w:ilvl w:val="0"/>
                <w:numId w:val="4"/>
              </w:numPr>
              <w:ind w:hanging="218"/>
            </w:pPr>
            <w:r>
              <w:t xml:space="preserve">Send invitations to potential committee members </w:t>
            </w:r>
          </w:p>
          <w:p w14:paraId="238389BD" w14:textId="760D81A9" w:rsidR="00377AB1" w:rsidRPr="00377AB1" w:rsidRDefault="00377AB1" w:rsidP="00377AB1">
            <w:pPr>
              <w:ind w:left="142"/>
              <w:rPr>
                <w:sz w:val="10"/>
                <w:szCs w:val="10"/>
              </w:rPr>
            </w:pPr>
          </w:p>
        </w:tc>
        <w:tc>
          <w:tcPr>
            <w:tcW w:w="3006" w:type="dxa"/>
          </w:tcPr>
          <w:p w14:paraId="0847EB6F" w14:textId="77E7CA54" w:rsidR="00377AB1" w:rsidRDefault="00377AB1">
            <w:r w:rsidRPr="003D585E">
              <w:rPr>
                <w:color w:val="538135" w:themeColor="accent6" w:themeShade="BF"/>
              </w:rPr>
              <w:t>Chair</w:t>
            </w:r>
          </w:p>
        </w:tc>
      </w:tr>
      <w:tr w:rsidR="00377AB1" w14:paraId="19F55D16" w14:textId="77777777" w:rsidTr="00377AB1">
        <w:tc>
          <w:tcPr>
            <w:tcW w:w="1980" w:type="dxa"/>
            <w:vMerge/>
          </w:tcPr>
          <w:p w14:paraId="3DD5293B" w14:textId="77777777" w:rsidR="00377AB1" w:rsidRPr="00377AB1" w:rsidRDefault="00377AB1">
            <w:pPr>
              <w:rPr>
                <w:color w:val="0033CC"/>
              </w:rPr>
            </w:pPr>
          </w:p>
        </w:tc>
        <w:tc>
          <w:tcPr>
            <w:tcW w:w="4030" w:type="dxa"/>
          </w:tcPr>
          <w:p w14:paraId="359B92AD" w14:textId="2D9DE794" w:rsidR="00377AB1" w:rsidRDefault="00377AB1" w:rsidP="00377AB1">
            <w:pPr>
              <w:pStyle w:val="ListParagraph"/>
              <w:numPr>
                <w:ilvl w:val="0"/>
                <w:numId w:val="4"/>
              </w:numPr>
              <w:ind w:hanging="218"/>
            </w:pPr>
            <w:r>
              <w:t xml:space="preserve">Send invitations to potential reviewers </w:t>
            </w:r>
          </w:p>
        </w:tc>
        <w:tc>
          <w:tcPr>
            <w:tcW w:w="3006" w:type="dxa"/>
          </w:tcPr>
          <w:p w14:paraId="6A0E3E90" w14:textId="77777777" w:rsidR="00377AB1" w:rsidRPr="003D585E" w:rsidRDefault="00377AB1">
            <w:pPr>
              <w:rPr>
                <w:b/>
                <w:bCs/>
              </w:rPr>
            </w:pPr>
            <w:r w:rsidRPr="003D585E">
              <w:rPr>
                <w:color w:val="538135" w:themeColor="accent6" w:themeShade="BF"/>
              </w:rPr>
              <w:t>Chair</w:t>
            </w:r>
          </w:p>
          <w:p w14:paraId="2C56D350" w14:textId="2E2C06D1" w:rsidR="00377AB1" w:rsidRPr="00377AB1" w:rsidRDefault="00377AB1">
            <w:pPr>
              <w:rPr>
                <w:sz w:val="10"/>
                <w:szCs w:val="10"/>
              </w:rPr>
            </w:pPr>
          </w:p>
        </w:tc>
      </w:tr>
      <w:tr w:rsidR="00377AB1" w14:paraId="189A6D8A" w14:textId="77777777" w:rsidTr="00377AB1">
        <w:tc>
          <w:tcPr>
            <w:tcW w:w="1980" w:type="dxa"/>
            <w:vMerge/>
          </w:tcPr>
          <w:p w14:paraId="7500D13B" w14:textId="77777777" w:rsidR="00377AB1" w:rsidRPr="00377AB1" w:rsidRDefault="00377AB1">
            <w:pPr>
              <w:rPr>
                <w:color w:val="0033CC"/>
              </w:rPr>
            </w:pPr>
          </w:p>
        </w:tc>
        <w:tc>
          <w:tcPr>
            <w:tcW w:w="4030" w:type="dxa"/>
          </w:tcPr>
          <w:p w14:paraId="01535C6D" w14:textId="77777777" w:rsidR="00377AB1" w:rsidRDefault="00377AB1" w:rsidP="00377AB1">
            <w:pPr>
              <w:pStyle w:val="ListParagraph"/>
              <w:numPr>
                <w:ilvl w:val="0"/>
                <w:numId w:val="4"/>
              </w:numPr>
              <w:ind w:hanging="218"/>
            </w:pPr>
            <w:r>
              <w:t>Select suitable reviewers –giving variety and expertise</w:t>
            </w:r>
          </w:p>
          <w:p w14:paraId="3B67C623" w14:textId="608C4C2E" w:rsidR="00377AB1" w:rsidRPr="00377AB1" w:rsidRDefault="00377AB1" w:rsidP="00377AB1">
            <w:pPr>
              <w:ind w:left="142"/>
              <w:rPr>
                <w:sz w:val="10"/>
                <w:szCs w:val="10"/>
              </w:rPr>
            </w:pPr>
          </w:p>
        </w:tc>
        <w:tc>
          <w:tcPr>
            <w:tcW w:w="3006" w:type="dxa"/>
          </w:tcPr>
          <w:p w14:paraId="1728F061" w14:textId="462795CD" w:rsidR="00377AB1" w:rsidRPr="003D585E" w:rsidRDefault="00377AB1">
            <w:pPr>
              <w:rPr>
                <w:color w:val="2E74B5" w:themeColor="accent5" w:themeShade="BF"/>
              </w:rPr>
            </w:pPr>
            <w:r w:rsidRPr="003D585E">
              <w:rPr>
                <w:color w:val="2E74B5" w:themeColor="accent5" w:themeShade="BF"/>
              </w:rPr>
              <w:t>SC</w:t>
            </w:r>
          </w:p>
        </w:tc>
      </w:tr>
      <w:tr w:rsidR="00377AB1" w14:paraId="3B6DF229" w14:textId="77777777" w:rsidTr="00377AB1">
        <w:tc>
          <w:tcPr>
            <w:tcW w:w="1980" w:type="dxa"/>
            <w:vMerge w:val="restart"/>
          </w:tcPr>
          <w:p w14:paraId="776918BA" w14:textId="11D4AF81" w:rsidR="00377AB1" w:rsidRPr="00377AB1" w:rsidRDefault="00377AB1" w:rsidP="00377AB1">
            <w:pPr>
              <w:pStyle w:val="ListParagraph"/>
              <w:numPr>
                <w:ilvl w:val="0"/>
                <w:numId w:val="3"/>
              </w:numPr>
              <w:rPr>
                <w:color w:val="0033CC"/>
              </w:rPr>
            </w:pPr>
            <w:r w:rsidRPr="00377AB1">
              <w:rPr>
                <w:color w:val="0033CC"/>
              </w:rPr>
              <w:t>Abstracts</w:t>
            </w:r>
          </w:p>
        </w:tc>
        <w:tc>
          <w:tcPr>
            <w:tcW w:w="4030" w:type="dxa"/>
          </w:tcPr>
          <w:p w14:paraId="2418A55B" w14:textId="77777777" w:rsidR="00377AB1" w:rsidRDefault="00377AB1" w:rsidP="00377AB1">
            <w:pPr>
              <w:pStyle w:val="ListParagraph"/>
              <w:numPr>
                <w:ilvl w:val="0"/>
                <w:numId w:val="5"/>
              </w:numPr>
              <w:ind w:left="311" w:hanging="283"/>
            </w:pPr>
            <w:r>
              <w:t xml:space="preserve">Confirm guidelines to review abstracts and scoring sheets </w:t>
            </w:r>
          </w:p>
          <w:p w14:paraId="15E6905C" w14:textId="2B20CB01" w:rsidR="00377AB1" w:rsidRPr="00377AB1" w:rsidRDefault="00377AB1" w:rsidP="00377AB1">
            <w:pPr>
              <w:pStyle w:val="ListParagraph"/>
              <w:ind w:left="311"/>
              <w:rPr>
                <w:sz w:val="10"/>
                <w:szCs w:val="10"/>
              </w:rPr>
            </w:pPr>
          </w:p>
        </w:tc>
        <w:tc>
          <w:tcPr>
            <w:tcW w:w="3006" w:type="dxa"/>
          </w:tcPr>
          <w:p w14:paraId="493CC568" w14:textId="2326D48D" w:rsidR="00377AB1" w:rsidRPr="003D585E" w:rsidRDefault="00377AB1">
            <w:pPr>
              <w:rPr>
                <w:color w:val="2E74B5" w:themeColor="accent5" w:themeShade="BF"/>
              </w:rPr>
            </w:pPr>
            <w:r w:rsidRPr="003D585E">
              <w:rPr>
                <w:color w:val="2E74B5" w:themeColor="accent5" w:themeShade="BF"/>
              </w:rPr>
              <w:t>SC</w:t>
            </w:r>
          </w:p>
        </w:tc>
      </w:tr>
      <w:tr w:rsidR="00377AB1" w14:paraId="33806B4B" w14:textId="77777777" w:rsidTr="00377AB1">
        <w:tc>
          <w:tcPr>
            <w:tcW w:w="1980" w:type="dxa"/>
            <w:vMerge/>
          </w:tcPr>
          <w:p w14:paraId="03EFDE66" w14:textId="77777777" w:rsidR="00377AB1" w:rsidRPr="00377AB1" w:rsidRDefault="00377AB1">
            <w:pPr>
              <w:rPr>
                <w:color w:val="0033CC"/>
              </w:rPr>
            </w:pPr>
          </w:p>
        </w:tc>
        <w:tc>
          <w:tcPr>
            <w:tcW w:w="4030" w:type="dxa"/>
          </w:tcPr>
          <w:p w14:paraId="243397D1" w14:textId="7D1B1AD7" w:rsidR="00377AB1" w:rsidRDefault="00377AB1" w:rsidP="00377AB1">
            <w:pPr>
              <w:pStyle w:val="ListParagraph"/>
              <w:numPr>
                <w:ilvl w:val="0"/>
                <w:numId w:val="5"/>
              </w:numPr>
              <w:ind w:left="311" w:hanging="283"/>
            </w:pPr>
            <w:r>
              <w:t>Confirm instructions for authors SC</w:t>
            </w:r>
          </w:p>
        </w:tc>
        <w:tc>
          <w:tcPr>
            <w:tcW w:w="3006" w:type="dxa"/>
          </w:tcPr>
          <w:p w14:paraId="22C29575" w14:textId="77777777" w:rsidR="00377AB1" w:rsidRPr="003D585E" w:rsidRDefault="00377AB1">
            <w:pPr>
              <w:rPr>
                <w:color w:val="2E74B5" w:themeColor="accent5" w:themeShade="BF"/>
              </w:rPr>
            </w:pPr>
            <w:r w:rsidRPr="003D585E">
              <w:rPr>
                <w:color w:val="2E74B5" w:themeColor="accent5" w:themeShade="BF"/>
              </w:rPr>
              <w:t>SC</w:t>
            </w:r>
          </w:p>
          <w:p w14:paraId="6A53FF92" w14:textId="3F8314D2" w:rsidR="00377AB1" w:rsidRPr="003D585E" w:rsidRDefault="00377AB1">
            <w:pPr>
              <w:rPr>
                <w:color w:val="2E74B5" w:themeColor="accent5" w:themeShade="BF"/>
                <w:sz w:val="10"/>
                <w:szCs w:val="10"/>
              </w:rPr>
            </w:pPr>
          </w:p>
        </w:tc>
      </w:tr>
      <w:tr w:rsidR="00377AB1" w14:paraId="38FD1171" w14:textId="77777777" w:rsidTr="00377AB1">
        <w:tc>
          <w:tcPr>
            <w:tcW w:w="1980" w:type="dxa"/>
            <w:vMerge/>
          </w:tcPr>
          <w:p w14:paraId="60A0DB42" w14:textId="77777777" w:rsidR="00377AB1" w:rsidRPr="00377AB1" w:rsidRDefault="00377AB1">
            <w:pPr>
              <w:rPr>
                <w:color w:val="0033CC"/>
              </w:rPr>
            </w:pPr>
          </w:p>
        </w:tc>
        <w:tc>
          <w:tcPr>
            <w:tcW w:w="4030" w:type="dxa"/>
          </w:tcPr>
          <w:p w14:paraId="160869F7" w14:textId="67DE4E2C" w:rsidR="00377AB1" w:rsidRDefault="00377AB1" w:rsidP="00377AB1">
            <w:pPr>
              <w:pStyle w:val="ListParagraph"/>
              <w:numPr>
                <w:ilvl w:val="0"/>
                <w:numId w:val="5"/>
              </w:numPr>
              <w:ind w:left="311" w:hanging="283"/>
            </w:pPr>
            <w:r>
              <w:t xml:space="preserve">Liaise with DCC about call for abstracts </w:t>
            </w:r>
          </w:p>
        </w:tc>
        <w:tc>
          <w:tcPr>
            <w:tcW w:w="3006" w:type="dxa"/>
          </w:tcPr>
          <w:p w14:paraId="109810C5" w14:textId="77777777" w:rsidR="00377AB1" w:rsidRDefault="00377AB1">
            <w:r w:rsidRPr="003D585E">
              <w:rPr>
                <w:color w:val="538135" w:themeColor="accent6" w:themeShade="BF"/>
              </w:rPr>
              <w:t>Chair</w:t>
            </w:r>
          </w:p>
          <w:p w14:paraId="5BD5ED4A" w14:textId="1DEC62D4" w:rsidR="00377AB1" w:rsidRPr="00377AB1" w:rsidRDefault="00377AB1">
            <w:pPr>
              <w:rPr>
                <w:sz w:val="10"/>
                <w:szCs w:val="10"/>
              </w:rPr>
            </w:pPr>
          </w:p>
        </w:tc>
      </w:tr>
      <w:tr w:rsidR="00377AB1" w14:paraId="0C2954BE" w14:textId="77777777" w:rsidTr="00377AB1">
        <w:tc>
          <w:tcPr>
            <w:tcW w:w="1980" w:type="dxa"/>
            <w:vMerge/>
          </w:tcPr>
          <w:p w14:paraId="5F92E28F" w14:textId="77777777" w:rsidR="00377AB1" w:rsidRPr="00377AB1" w:rsidRDefault="00377AB1">
            <w:pPr>
              <w:rPr>
                <w:color w:val="0033CC"/>
              </w:rPr>
            </w:pPr>
          </w:p>
        </w:tc>
        <w:tc>
          <w:tcPr>
            <w:tcW w:w="4030" w:type="dxa"/>
          </w:tcPr>
          <w:p w14:paraId="7E669B9C" w14:textId="77777777" w:rsidR="00377AB1" w:rsidRDefault="00377AB1" w:rsidP="00377AB1">
            <w:pPr>
              <w:pStyle w:val="ListParagraph"/>
              <w:numPr>
                <w:ilvl w:val="0"/>
                <w:numId w:val="5"/>
              </w:numPr>
              <w:ind w:left="311" w:hanging="283"/>
            </w:pPr>
            <w:r>
              <w:t xml:space="preserve">Allocate reviewers to abstracts to match expertise </w:t>
            </w:r>
          </w:p>
          <w:p w14:paraId="210A5EDE" w14:textId="178903E1" w:rsidR="00377AB1" w:rsidRPr="00377AB1" w:rsidRDefault="00377AB1" w:rsidP="00377AB1">
            <w:pPr>
              <w:rPr>
                <w:sz w:val="10"/>
                <w:szCs w:val="10"/>
              </w:rPr>
            </w:pPr>
          </w:p>
        </w:tc>
        <w:tc>
          <w:tcPr>
            <w:tcW w:w="3006" w:type="dxa"/>
          </w:tcPr>
          <w:p w14:paraId="25E6391A" w14:textId="23B4F745" w:rsidR="00377AB1" w:rsidRDefault="00377AB1">
            <w:r w:rsidRPr="003D585E">
              <w:rPr>
                <w:color w:val="2E74B5" w:themeColor="accent5" w:themeShade="BF"/>
              </w:rPr>
              <w:t>SC</w:t>
            </w:r>
          </w:p>
        </w:tc>
      </w:tr>
      <w:tr w:rsidR="00377AB1" w14:paraId="5B136EF2" w14:textId="77777777" w:rsidTr="00377AB1">
        <w:tc>
          <w:tcPr>
            <w:tcW w:w="1980" w:type="dxa"/>
            <w:vMerge/>
          </w:tcPr>
          <w:p w14:paraId="28A4BCA4" w14:textId="77777777" w:rsidR="00377AB1" w:rsidRPr="00377AB1" w:rsidRDefault="00377AB1">
            <w:pPr>
              <w:rPr>
                <w:color w:val="0033CC"/>
              </w:rPr>
            </w:pPr>
          </w:p>
        </w:tc>
        <w:tc>
          <w:tcPr>
            <w:tcW w:w="4030" w:type="dxa"/>
          </w:tcPr>
          <w:p w14:paraId="733014C1" w14:textId="77777777" w:rsidR="00377AB1" w:rsidRDefault="00377AB1" w:rsidP="00377AB1">
            <w:pPr>
              <w:pStyle w:val="ListParagraph"/>
              <w:numPr>
                <w:ilvl w:val="0"/>
                <w:numId w:val="5"/>
              </w:numPr>
              <w:ind w:left="311" w:hanging="283"/>
            </w:pPr>
            <w:r>
              <w:t xml:space="preserve">Abstracts send to reviewers – double-blind </w:t>
            </w:r>
          </w:p>
          <w:p w14:paraId="52E59B38" w14:textId="4B50BB59" w:rsidR="00377AB1" w:rsidRPr="00377AB1" w:rsidRDefault="00377AB1" w:rsidP="00377AB1">
            <w:pPr>
              <w:rPr>
                <w:sz w:val="10"/>
                <w:szCs w:val="10"/>
              </w:rPr>
            </w:pPr>
          </w:p>
        </w:tc>
        <w:tc>
          <w:tcPr>
            <w:tcW w:w="3006" w:type="dxa"/>
          </w:tcPr>
          <w:p w14:paraId="4D80A3A9" w14:textId="599F1E28" w:rsidR="00377AB1" w:rsidRDefault="00377AB1">
            <w:r w:rsidRPr="003D585E">
              <w:rPr>
                <w:color w:val="C45911" w:themeColor="accent2" w:themeShade="BF"/>
              </w:rPr>
              <w:t>DCC</w:t>
            </w:r>
          </w:p>
        </w:tc>
      </w:tr>
      <w:tr w:rsidR="00377AB1" w14:paraId="194D957F" w14:textId="77777777" w:rsidTr="00377AB1">
        <w:tc>
          <w:tcPr>
            <w:tcW w:w="1980" w:type="dxa"/>
            <w:vMerge/>
          </w:tcPr>
          <w:p w14:paraId="48D71270" w14:textId="77777777" w:rsidR="00377AB1" w:rsidRPr="00377AB1" w:rsidRDefault="00377AB1">
            <w:pPr>
              <w:rPr>
                <w:color w:val="0033CC"/>
              </w:rPr>
            </w:pPr>
          </w:p>
        </w:tc>
        <w:tc>
          <w:tcPr>
            <w:tcW w:w="4030" w:type="dxa"/>
          </w:tcPr>
          <w:p w14:paraId="396CA1D4" w14:textId="77777777" w:rsidR="00377AB1" w:rsidRDefault="00377AB1" w:rsidP="00377AB1">
            <w:pPr>
              <w:pStyle w:val="ListParagraph"/>
              <w:numPr>
                <w:ilvl w:val="0"/>
                <w:numId w:val="5"/>
              </w:numPr>
              <w:ind w:left="311" w:hanging="283"/>
            </w:pPr>
            <w:r>
              <w:t xml:space="preserve">Review abstracts for oral and poster sessions </w:t>
            </w:r>
          </w:p>
          <w:p w14:paraId="7DEB30F2" w14:textId="6EF14839" w:rsidR="00377AB1" w:rsidRPr="00377AB1" w:rsidRDefault="00377AB1" w:rsidP="00377AB1">
            <w:pPr>
              <w:ind w:left="28"/>
              <w:rPr>
                <w:sz w:val="10"/>
                <w:szCs w:val="10"/>
              </w:rPr>
            </w:pPr>
          </w:p>
        </w:tc>
        <w:tc>
          <w:tcPr>
            <w:tcW w:w="3006" w:type="dxa"/>
          </w:tcPr>
          <w:p w14:paraId="42C1A116" w14:textId="2E83BCB0" w:rsidR="00377AB1" w:rsidRDefault="00377AB1">
            <w:r w:rsidRPr="003D585E">
              <w:rPr>
                <w:color w:val="7030A0"/>
              </w:rPr>
              <w:t>Reviewers</w:t>
            </w:r>
          </w:p>
        </w:tc>
      </w:tr>
      <w:tr w:rsidR="00377AB1" w14:paraId="3FC0A7F9" w14:textId="77777777" w:rsidTr="00377AB1">
        <w:tc>
          <w:tcPr>
            <w:tcW w:w="1980" w:type="dxa"/>
            <w:vMerge/>
          </w:tcPr>
          <w:p w14:paraId="26843210" w14:textId="77777777" w:rsidR="00377AB1" w:rsidRPr="00377AB1" w:rsidRDefault="00377AB1">
            <w:pPr>
              <w:rPr>
                <w:color w:val="0033CC"/>
              </w:rPr>
            </w:pPr>
          </w:p>
        </w:tc>
        <w:tc>
          <w:tcPr>
            <w:tcW w:w="4030" w:type="dxa"/>
          </w:tcPr>
          <w:p w14:paraId="3FB79D7C" w14:textId="44CF06E8" w:rsidR="00377AB1" w:rsidRDefault="00377AB1" w:rsidP="00377AB1">
            <w:pPr>
              <w:pStyle w:val="ListParagraph"/>
              <w:numPr>
                <w:ilvl w:val="0"/>
                <w:numId w:val="5"/>
              </w:numPr>
              <w:ind w:left="311" w:hanging="283"/>
            </w:pPr>
            <w:r>
              <w:t xml:space="preserve">Send acceptance/rejection emails </w:t>
            </w:r>
          </w:p>
          <w:p w14:paraId="38815A97" w14:textId="77777777" w:rsidR="00377AB1" w:rsidRPr="00377AB1" w:rsidRDefault="00377AB1" w:rsidP="00377AB1">
            <w:pPr>
              <w:rPr>
                <w:sz w:val="10"/>
                <w:szCs w:val="10"/>
              </w:rPr>
            </w:pPr>
          </w:p>
        </w:tc>
        <w:tc>
          <w:tcPr>
            <w:tcW w:w="3006" w:type="dxa"/>
          </w:tcPr>
          <w:p w14:paraId="557D3755" w14:textId="1493F2F0" w:rsidR="00377AB1" w:rsidRDefault="00377AB1">
            <w:r w:rsidRPr="003D585E">
              <w:rPr>
                <w:color w:val="C45911" w:themeColor="accent2" w:themeShade="BF"/>
              </w:rPr>
              <w:t>DCC</w:t>
            </w:r>
          </w:p>
        </w:tc>
      </w:tr>
      <w:tr w:rsidR="00377AB1" w14:paraId="6AE387A9" w14:textId="77777777" w:rsidTr="00377AB1">
        <w:tc>
          <w:tcPr>
            <w:tcW w:w="1980" w:type="dxa"/>
            <w:vMerge w:val="restart"/>
          </w:tcPr>
          <w:p w14:paraId="2AC62A83" w14:textId="135A3C8F" w:rsidR="00377AB1" w:rsidRPr="00377AB1" w:rsidRDefault="00377AB1" w:rsidP="00377AB1">
            <w:pPr>
              <w:pStyle w:val="ListParagraph"/>
              <w:numPr>
                <w:ilvl w:val="0"/>
                <w:numId w:val="3"/>
              </w:numPr>
              <w:rPr>
                <w:color w:val="0033CC"/>
              </w:rPr>
            </w:pPr>
            <w:r w:rsidRPr="00377AB1">
              <w:rPr>
                <w:color w:val="0033CC"/>
              </w:rPr>
              <w:t>Programme</w:t>
            </w:r>
          </w:p>
        </w:tc>
        <w:tc>
          <w:tcPr>
            <w:tcW w:w="4030" w:type="dxa"/>
          </w:tcPr>
          <w:p w14:paraId="4386F2E3" w14:textId="77777777" w:rsidR="00377AB1" w:rsidRDefault="00377AB1" w:rsidP="00377AB1">
            <w:pPr>
              <w:pStyle w:val="ListParagraph"/>
              <w:numPr>
                <w:ilvl w:val="0"/>
                <w:numId w:val="6"/>
              </w:numPr>
              <w:ind w:left="376" w:hanging="283"/>
            </w:pPr>
            <w:r>
              <w:t xml:space="preserve">Receive abstracts and decide those to be in the program, so those to accept / reject </w:t>
            </w:r>
          </w:p>
          <w:p w14:paraId="0F599B91" w14:textId="76C6CBD7" w:rsidR="00377AB1" w:rsidRPr="00377AB1" w:rsidRDefault="00377AB1" w:rsidP="00377AB1">
            <w:pPr>
              <w:pStyle w:val="ListParagraph"/>
              <w:ind w:left="376"/>
              <w:rPr>
                <w:sz w:val="10"/>
                <w:szCs w:val="10"/>
              </w:rPr>
            </w:pPr>
          </w:p>
        </w:tc>
        <w:tc>
          <w:tcPr>
            <w:tcW w:w="3006" w:type="dxa"/>
          </w:tcPr>
          <w:p w14:paraId="7BB1B116" w14:textId="5BFC5B6D" w:rsidR="00377AB1" w:rsidRDefault="00377AB1">
            <w:r w:rsidRPr="003D585E">
              <w:rPr>
                <w:color w:val="2E74B5" w:themeColor="accent5" w:themeShade="BF"/>
              </w:rPr>
              <w:t>SC</w:t>
            </w:r>
          </w:p>
        </w:tc>
      </w:tr>
      <w:tr w:rsidR="00377AB1" w14:paraId="1D091F91" w14:textId="77777777" w:rsidTr="00377AB1">
        <w:tc>
          <w:tcPr>
            <w:tcW w:w="1980" w:type="dxa"/>
            <w:vMerge/>
          </w:tcPr>
          <w:p w14:paraId="48955C44" w14:textId="77777777" w:rsidR="00377AB1" w:rsidRPr="00377AB1" w:rsidRDefault="00377AB1">
            <w:pPr>
              <w:rPr>
                <w:color w:val="0033CC"/>
              </w:rPr>
            </w:pPr>
          </w:p>
        </w:tc>
        <w:tc>
          <w:tcPr>
            <w:tcW w:w="4030" w:type="dxa"/>
          </w:tcPr>
          <w:p w14:paraId="32F186A2" w14:textId="77777777" w:rsidR="00377AB1" w:rsidRDefault="00377AB1" w:rsidP="00377AB1">
            <w:pPr>
              <w:pStyle w:val="ListParagraph"/>
              <w:numPr>
                <w:ilvl w:val="0"/>
                <w:numId w:val="6"/>
              </w:numPr>
              <w:ind w:left="376" w:hanging="283"/>
            </w:pPr>
            <w:r>
              <w:t xml:space="preserve">Decide those to be in the poster program, so those to accept / reject </w:t>
            </w:r>
          </w:p>
          <w:p w14:paraId="25017FC3" w14:textId="37116F8F" w:rsidR="00377AB1" w:rsidRPr="00377AB1" w:rsidRDefault="00377AB1" w:rsidP="00377AB1">
            <w:pPr>
              <w:pStyle w:val="ListParagraph"/>
              <w:ind w:left="376"/>
              <w:rPr>
                <w:sz w:val="10"/>
                <w:szCs w:val="10"/>
              </w:rPr>
            </w:pPr>
          </w:p>
        </w:tc>
        <w:tc>
          <w:tcPr>
            <w:tcW w:w="3006" w:type="dxa"/>
          </w:tcPr>
          <w:p w14:paraId="458F1443" w14:textId="7B4C3D9C" w:rsidR="00377AB1" w:rsidRDefault="00377AB1">
            <w:r w:rsidRPr="003D585E">
              <w:rPr>
                <w:color w:val="2E74B5" w:themeColor="accent5" w:themeShade="BF"/>
              </w:rPr>
              <w:t>SC</w:t>
            </w:r>
          </w:p>
        </w:tc>
      </w:tr>
      <w:tr w:rsidR="00377AB1" w14:paraId="4095EB17" w14:textId="77777777" w:rsidTr="00377AB1">
        <w:tc>
          <w:tcPr>
            <w:tcW w:w="1980" w:type="dxa"/>
            <w:vMerge/>
          </w:tcPr>
          <w:p w14:paraId="7677F5D1" w14:textId="77777777" w:rsidR="00377AB1" w:rsidRPr="00377AB1" w:rsidRDefault="00377AB1">
            <w:pPr>
              <w:rPr>
                <w:color w:val="0033CC"/>
              </w:rPr>
            </w:pPr>
          </w:p>
        </w:tc>
        <w:tc>
          <w:tcPr>
            <w:tcW w:w="4030" w:type="dxa"/>
          </w:tcPr>
          <w:p w14:paraId="0A248BBC" w14:textId="77777777" w:rsidR="00377AB1" w:rsidRDefault="00377AB1" w:rsidP="00377AB1">
            <w:pPr>
              <w:pStyle w:val="ListParagraph"/>
              <w:numPr>
                <w:ilvl w:val="0"/>
                <w:numId w:val="6"/>
              </w:numPr>
              <w:ind w:left="376" w:hanging="283"/>
            </w:pPr>
            <w:r>
              <w:t>Inform DCC of presenters and poster authors Chair</w:t>
            </w:r>
          </w:p>
          <w:p w14:paraId="731E59A5" w14:textId="49317A10" w:rsidR="00377AB1" w:rsidRPr="00377AB1" w:rsidRDefault="00377AB1" w:rsidP="00377AB1">
            <w:pPr>
              <w:pStyle w:val="ListParagraph"/>
              <w:ind w:left="376"/>
              <w:rPr>
                <w:sz w:val="10"/>
                <w:szCs w:val="10"/>
              </w:rPr>
            </w:pPr>
          </w:p>
        </w:tc>
        <w:tc>
          <w:tcPr>
            <w:tcW w:w="3006" w:type="dxa"/>
          </w:tcPr>
          <w:p w14:paraId="6E61FF8E" w14:textId="473B5461" w:rsidR="00377AB1" w:rsidRDefault="00377AB1">
            <w:r w:rsidRPr="003D585E">
              <w:rPr>
                <w:color w:val="538135" w:themeColor="accent6" w:themeShade="BF"/>
              </w:rPr>
              <w:t>Chair</w:t>
            </w:r>
          </w:p>
        </w:tc>
      </w:tr>
      <w:tr w:rsidR="00377AB1" w14:paraId="500719B1" w14:textId="77777777" w:rsidTr="00377AB1">
        <w:tc>
          <w:tcPr>
            <w:tcW w:w="1980" w:type="dxa"/>
            <w:vMerge/>
          </w:tcPr>
          <w:p w14:paraId="783FF14A" w14:textId="77777777" w:rsidR="00377AB1" w:rsidRPr="00377AB1" w:rsidRDefault="00377AB1">
            <w:pPr>
              <w:rPr>
                <w:color w:val="0033CC"/>
              </w:rPr>
            </w:pPr>
          </w:p>
        </w:tc>
        <w:tc>
          <w:tcPr>
            <w:tcW w:w="4030" w:type="dxa"/>
          </w:tcPr>
          <w:p w14:paraId="3361C78F" w14:textId="77777777" w:rsidR="00377AB1" w:rsidRDefault="00377AB1" w:rsidP="00377AB1">
            <w:pPr>
              <w:pStyle w:val="ListParagraph"/>
              <w:numPr>
                <w:ilvl w:val="0"/>
                <w:numId w:val="6"/>
              </w:numPr>
              <w:ind w:left="376" w:hanging="283"/>
            </w:pPr>
            <w:r>
              <w:t xml:space="preserve">Develop a balanced program with connecting themes from the abstracts </w:t>
            </w:r>
          </w:p>
          <w:p w14:paraId="48188D02" w14:textId="56025AC9" w:rsidR="00377AB1" w:rsidRPr="00377AB1" w:rsidRDefault="00377AB1" w:rsidP="00377AB1">
            <w:pPr>
              <w:rPr>
                <w:sz w:val="10"/>
                <w:szCs w:val="10"/>
              </w:rPr>
            </w:pPr>
          </w:p>
        </w:tc>
        <w:tc>
          <w:tcPr>
            <w:tcW w:w="3006" w:type="dxa"/>
          </w:tcPr>
          <w:p w14:paraId="70E65992" w14:textId="3BC851C0" w:rsidR="00377AB1" w:rsidRDefault="00377AB1">
            <w:r w:rsidRPr="003D585E">
              <w:rPr>
                <w:color w:val="2E74B5" w:themeColor="accent5" w:themeShade="BF"/>
              </w:rPr>
              <w:t>SC</w:t>
            </w:r>
          </w:p>
        </w:tc>
      </w:tr>
      <w:tr w:rsidR="00377AB1" w14:paraId="7119E718" w14:textId="77777777" w:rsidTr="00377AB1">
        <w:tc>
          <w:tcPr>
            <w:tcW w:w="1980" w:type="dxa"/>
            <w:vMerge/>
          </w:tcPr>
          <w:p w14:paraId="3D02A222" w14:textId="77777777" w:rsidR="00377AB1" w:rsidRPr="00377AB1" w:rsidRDefault="00377AB1">
            <w:pPr>
              <w:rPr>
                <w:color w:val="0033CC"/>
              </w:rPr>
            </w:pPr>
          </w:p>
        </w:tc>
        <w:tc>
          <w:tcPr>
            <w:tcW w:w="4030" w:type="dxa"/>
          </w:tcPr>
          <w:p w14:paraId="3C925CE4" w14:textId="77777777" w:rsidR="00377AB1" w:rsidRDefault="00377AB1" w:rsidP="00377AB1">
            <w:pPr>
              <w:pStyle w:val="ListParagraph"/>
              <w:numPr>
                <w:ilvl w:val="0"/>
                <w:numId w:val="6"/>
              </w:numPr>
              <w:ind w:left="376" w:hanging="283"/>
            </w:pPr>
            <w:r>
              <w:t>Submit program to ANTS executive for ratification</w:t>
            </w:r>
          </w:p>
          <w:p w14:paraId="2912CFCA" w14:textId="763078AC" w:rsidR="00377AB1" w:rsidRPr="00377AB1" w:rsidRDefault="00377AB1" w:rsidP="00377AB1">
            <w:pPr>
              <w:pStyle w:val="ListParagraph"/>
              <w:ind w:left="376"/>
              <w:rPr>
                <w:sz w:val="10"/>
                <w:szCs w:val="10"/>
              </w:rPr>
            </w:pPr>
          </w:p>
        </w:tc>
        <w:tc>
          <w:tcPr>
            <w:tcW w:w="3006" w:type="dxa"/>
          </w:tcPr>
          <w:p w14:paraId="51BA3F44" w14:textId="53ADA261" w:rsidR="00377AB1" w:rsidRDefault="00377AB1">
            <w:r w:rsidRPr="003D585E">
              <w:rPr>
                <w:color w:val="538135" w:themeColor="accent6" w:themeShade="BF"/>
              </w:rPr>
              <w:t>Chair</w:t>
            </w:r>
          </w:p>
        </w:tc>
      </w:tr>
      <w:tr w:rsidR="00377AB1" w14:paraId="37364656" w14:textId="77777777" w:rsidTr="00377AB1">
        <w:tc>
          <w:tcPr>
            <w:tcW w:w="1980" w:type="dxa"/>
            <w:vMerge/>
          </w:tcPr>
          <w:p w14:paraId="6E5546C6" w14:textId="77777777" w:rsidR="00377AB1" w:rsidRPr="00377AB1" w:rsidRDefault="00377AB1">
            <w:pPr>
              <w:rPr>
                <w:color w:val="0033CC"/>
              </w:rPr>
            </w:pPr>
          </w:p>
        </w:tc>
        <w:tc>
          <w:tcPr>
            <w:tcW w:w="4030" w:type="dxa"/>
          </w:tcPr>
          <w:p w14:paraId="2D8FD209" w14:textId="089D7F68" w:rsidR="00377AB1" w:rsidRDefault="00377AB1" w:rsidP="00377AB1">
            <w:pPr>
              <w:pStyle w:val="ListParagraph"/>
              <w:numPr>
                <w:ilvl w:val="0"/>
                <w:numId w:val="6"/>
              </w:numPr>
              <w:ind w:left="376" w:hanging="283"/>
            </w:pPr>
            <w:r>
              <w:t xml:space="preserve">Inform DCC of program </w:t>
            </w:r>
          </w:p>
          <w:p w14:paraId="5889199B" w14:textId="77777777" w:rsidR="00377AB1" w:rsidRPr="00377AB1" w:rsidRDefault="00377AB1" w:rsidP="00377AB1">
            <w:pPr>
              <w:ind w:left="93"/>
              <w:rPr>
                <w:sz w:val="10"/>
                <w:szCs w:val="10"/>
              </w:rPr>
            </w:pPr>
          </w:p>
        </w:tc>
        <w:tc>
          <w:tcPr>
            <w:tcW w:w="3006" w:type="dxa"/>
          </w:tcPr>
          <w:p w14:paraId="1EA83CEE" w14:textId="40AD4E9D" w:rsidR="00377AB1" w:rsidRDefault="00377AB1">
            <w:r w:rsidRPr="003D585E">
              <w:rPr>
                <w:color w:val="538135" w:themeColor="accent6" w:themeShade="BF"/>
              </w:rPr>
              <w:t>Chair</w:t>
            </w:r>
          </w:p>
        </w:tc>
      </w:tr>
      <w:tr w:rsidR="00377AB1" w14:paraId="7D1483BA" w14:textId="77777777" w:rsidTr="00377AB1">
        <w:tc>
          <w:tcPr>
            <w:tcW w:w="1980" w:type="dxa"/>
            <w:vMerge w:val="restart"/>
          </w:tcPr>
          <w:p w14:paraId="048AF47D" w14:textId="5E9DAB65" w:rsidR="00377AB1" w:rsidRPr="00377AB1" w:rsidRDefault="00377AB1" w:rsidP="00377AB1">
            <w:pPr>
              <w:pStyle w:val="ListParagraph"/>
              <w:numPr>
                <w:ilvl w:val="0"/>
                <w:numId w:val="3"/>
              </w:numPr>
              <w:rPr>
                <w:color w:val="0033CC"/>
              </w:rPr>
            </w:pPr>
            <w:r w:rsidRPr="00377AB1">
              <w:rPr>
                <w:color w:val="0033CC"/>
              </w:rPr>
              <w:t>Prizes</w:t>
            </w:r>
          </w:p>
        </w:tc>
        <w:tc>
          <w:tcPr>
            <w:tcW w:w="4030" w:type="dxa"/>
          </w:tcPr>
          <w:p w14:paraId="05B4D2EE" w14:textId="77777777" w:rsidR="00377AB1" w:rsidRDefault="00377AB1" w:rsidP="00377AB1">
            <w:pPr>
              <w:pStyle w:val="ListParagraph"/>
              <w:numPr>
                <w:ilvl w:val="0"/>
                <w:numId w:val="7"/>
              </w:numPr>
              <w:ind w:left="376" w:hanging="283"/>
            </w:pPr>
            <w:r>
              <w:t>Confirm scoring sheet for best oral presentations</w:t>
            </w:r>
          </w:p>
          <w:p w14:paraId="61D215E2" w14:textId="288B5E7E" w:rsidR="00377AB1" w:rsidRPr="00377AB1" w:rsidRDefault="00377AB1" w:rsidP="00377AB1">
            <w:pPr>
              <w:pStyle w:val="ListParagraph"/>
              <w:ind w:left="376"/>
              <w:rPr>
                <w:sz w:val="12"/>
                <w:szCs w:val="12"/>
              </w:rPr>
            </w:pPr>
          </w:p>
        </w:tc>
        <w:tc>
          <w:tcPr>
            <w:tcW w:w="3006" w:type="dxa"/>
          </w:tcPr>
          <w:p w14:paraId="539E5AF6" w14:textId="4B3E7C0D" w:rsidR="00377AB1" w:rsidRDefault="00377AB1">
            <w:r w:rsidRPr="003D585E">
              <w:rPr>
                <w:color w:val="2E74B5" w:themeColor="accent5" w:themeShade="BF"/>
              </w:rPr>
              <w:t>SC</w:t>
            </w:r>
          </w:p>
        </w:tc>
      </w:tr>
      <w:tr w:rsidR="00377AB1" w14:paraId="3A87B26C" w14:textId="77777777" w:rsidTr="00377AB1">
        <w:tc>
          <w:tcPr>
            <w:tcW w:w="1980" w:type="dxa"/>
            <w:vMerge/>
          </w:tcPr>
          <w:p w14:paraId="57DC5697" w14:textId="77777777" w:rsidR="00377AB1" w:rsidRPr="00377AB1" w:rsidRDefault="00377AB1">
            <w:pPr>
              <w:rPr>
                <w:color w:val="0033CC"/>
              </w:rPr>
            </w:pPr>
          </w:p>
        </w:tc>
        <w:tc>
          <w:tcPr>
            <w:tcW w:w="4030" w:type="dxa"/>
          </w:tcPr>
          <w:p w14:paraId="3AF2CC07" w14:textId="029BE8BF" w:rsidR="00377AB1" w:rsidRDefault="00377AB1" w:rsidP="00377AB1">
            <w:pPr>
              <w:pStyle w:val="ListParagraph"/>
              <w:numPr>
                <w:ilvl w:val="0"/>
                <w:numId w:val="7"/>
              </w:numPr>
              <w:ind w:left="376" w:hanging="283"/>
            </w:pPr>
            <w:r>
              <w:t>Confirm scoring sheet for best poster</w:t>
            </w:r>
          </w:p>
        </w:tc>
        <w:tc>
          <w:tcPr>
            <w:tcW w:w="3006" w:type="dxa"/>
          </w:tcPr>
          <w:p w14:paraId="7C909451" w14:textId="77777777" w:rsidR="00377AB1" w:rsidRDefault="00377AB1">
            <w:r w:rsidRPr="003D585E">
              <w:rPr>
                <w:color w:val="2E74B5" w:themeColor="accent5" w:themeShade="BF"/>
              </w:rPr>
              <w:t>SC</w:t>
            </w:r>
          </w:p>
          <w:p w14:paraId="0F89F4F9" w14:textId="34C8206C" w:rsidR="00377AB1" w:rsidRPr="003D585E" w:rsidRDefault="00377AB1">
            <w:pPr>
              <w:rPr>
                <w:color w:val="2E74B5" w:themeColor="accent5" w:themeShade="BF"/>
                <w:sz w:val="12"/>
                <w:szCs w:val="12"/>
              </w:rPr>
            </w:pPr>
          </w:p>
        </w:tc>
      </w:tr>
      <w:tr w:rsidR="001A3C25" w14:paraId="437D545E" w14:textId="77777777" w:rsidTr="003D585E">
        <w:trPr>
          <w:trHeight w:val="427"/>
        </w:trPr>
        <w:tc>
          <w:tcPr>
            <w:tcW w:w="1980" w:type="dxa"/>
          </w:tcPr>
          <w:p w14:paraId="7AFB707A" w14:textId="740C9F4B" w:rsidR="001A3C25" w:rsidRPr="00377AB1" w:rsidRDefault="001A3C25" w:rsidP="00377AB1">
            <w:pPr>
              <w:pStyle w:val="ListParagraph"/>
              <w:numPr>
                <w:ilvl w:val="0"/>
                <w:numId w:val="3"/>
              </w:numPr>
              <w:rPr>
                <w:color w:val="0033CC"/>
              </w:rPr>
            </w:pPr>
            <w:r w:rsidRPr="00377AB1">
              <w:rPr>
                <w:color w:val="0033CC"/>
              </w:rPr>
              <w:t>Feedback</w:t>
            </w:r>
          </w:p>
        </w:tc>
        <w:tc>
          <w:tcPr>
            <w:tcW w:w="4030" w:type="dxa"/>
          </w:tcPr>
          <w:p w14:paraId="1B170078" w14:textId="456D2066" w:rsidR="001A3C25" w:rsidRDefault="001A3C25" w:rsidP="00377AB1">
            <w:pPr>
              <w:pStyle w:val="ListParagraph"/>
              <w:numPr>
                <w:ilvl w:val="0"/>
                <w:numId w:val="8"/>
              </w:numPr>
              <w:ind w:left="376" w:hanging="283"/>
            </w:pPr>
            <w:r>
              <w:t xml:space="preserve">Develop post-conference survey </w:t>
            </w:r>
          </w:p>
        </w:tc>
        <w:tc>
          <w:tcPr>
            <w:tcW w:w="3006" w:type="dxa"/>
          </w:tcPr>
          <w:p w14:paraId="2238C028" w14:textId="77777777" w:rsidR="001A3C25" w:rsidRDefault="001A3C25">
            <w:r w:rsidRPr="003D585E">
              <w:rPr>
                <w:color w:val="2E74B5" w:themeColor="accent5" w:themeShade="BF"/>
              </w:rPr>
              <w:t>SC</w:t>
            </w:r>
          </w:p>
          <w:p w14:paraId="5C79B0B7" w14:textId="5196D366" w:rsidR="00377AB1" w:rsidRPr="00377AB1" w:rsidRDefault="00377AB1">
            <w:pPr>
              <w:rPr>
                <w:sz w:val="10"/>
                <w:szCs w:val="10"/>
              </w:rPr>
            </w:pPr>
          </w:p>
        </w:tc>
      </w:tr>
    </w:tbl>
    <w:p w14:paraId="512784B5" w14:textId="77777777" w:rsidR="001A3C25" w:rsidRDefault="001A3C25" w:rsidP="00377AB1"/>
    <w:sectPr w:rsidR="001A3C25" w:rsidSect="003D585E">
      <w:headerReference w:type="default" r:id="rId7"/>
      <w:footerReference w:type="default" r:id="rId8"/>
      <w:pgSz w:w="11906" w:h="16838"/>
      <w:pgMar w:top="1440" w:right="1440" w:bottom="851"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B29AC" w14:textId="77777777" w:rsidR="00D6182A" w:rsidRDefault="00D6182A" w:rsidP="00D6182A">
      <w:pPr>
        <w:spacing w:after="0" w:line="240" w:lineRule="auto"/>
      </w:pPr>
      <w:r>
        <w:separator/>
      </w:r>
    </w:p>
  </w:endnote>
  <w:endnote w:type="continuationSeparator" w:id="0">
    <w:p w14:paraId="7F9805BD" w14:textId="77777777" w:rsidR="00D6182A" w:rsidRDefault="00D6182A" w:rsidP="00D61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1F12" w14:textId="1E95E6BE" w:rsidR="00231FE1" w:rsidRPr="00231FE1" w:rsidRDefault="00231FE1">
    <w:pPr>
      <w:pStyle w:val="Footer"/>
      <w:rPr>
        <w:color w:val="2F5496" w:themeColor="accent1" w:themeShade="BF"/>
        <w:sz w:val="16"/>
        <w:szCs w:val="16"/>
      </w:rPr>
    </w:pPr>
    <w:r>
      <w:rPr>
        <w:color w:val="2F5496" w:themeColor="accent1" w:themeShade="BF"/>
      </w:rPr>
      <w:t>__________________________________________________________________________________</w:t>
    </w:r>
    <w:r w:rsidRPr="00231FE1">
      <w:rPr>
        <w:color w:val="2F5496" w:themeColor="accent1" w:themeShade="BF"/>
        <w:sz w:val="16"/>
        <w:szCs w:val="16"/>
      </w:rPr>
      <w:t xml:space="preserve">NNEC2025                                        </w:t>
    </w:r>
    <w:r>
      <w:rPr>
        <w:color w:val="2F5496" w:themeColor="accent1" w:themeShade="BF"/>
        <w:sz w:val="16"/>
        <w:szCs w:val="16"/>
      </w:rPr>
      <w:t xml:space="preserve">                    </w:t>
    </w:r>
    <w:r w:rsidRPr="00231FE1">
      <w:rPr>
        <w:color w:val="2F5496" w:themeColor="accent1" w:themeShade="BF"/>
        <w:sz w:val="16"/>
        <w:szCs w:val="16"/>
      </w:rPr>
      <w:t>ANTS Scientific Committee TOR</w:t>
    </w:r>
    <w:r w:rsidRPr="00231FE1">
      <w:rPr>
        <w:color w:val="2F5496" w:themeColor="accent1" w:themeShade="BF"/>
        <w:sz w:val="16"/>
        <w:szCs w:val="16"/>
      </w:rPr>
      <w:ptab w:relativeTo="margin" w:alignment="right" w:leader="none"/>
    </w:r>
    <w:r w:rsidRPr="00231FE1">
      <w:rPr>
        <w:color w:val="2F5496" w:themeColor="accent1" w:themeShade="BF"/>
        <w:sz w:val="16"/>
        <w:szCs w:val="16"/>
      </w:rPr>
      <w:t xml:space="preserve"> </w:t>
    </w:r>
    <w:r w:rsidRPr="00231FE1">
      <w:rPr>
        <w:color w:val="2F5496" w:themeColor="accent1" w:themeShade="BF"/>
        <w:sz w:val="16"/>
        <w:szCs w:val="16"/>
      </w:rPr>
      <w:t>Last revised: 12</w:t>
    </w:r>
    <w:r w:rsidRPr="00231FE1">
      <w:rPr>
        <w:color w:val="2F5496" w:themeColor="accent1" w:themeShade="BF"/>
        <w:sz w:val="16"/>
        <w:szCs w:val="16"/>
        <w:vertAlign w:val="superscript"/>
      </w:rPr>
      <w:t>th</w:t>
    </w:r>
    <w:r w:rsidRPr="00231FE1">
      <w:rPr>
        <w:color w:val="2F5496" w:themeColor="accent1" w:themeShade="BF"/>
        <w:sz w:val="16"/>
        <w:szCs w:val="16"/>
      </w:rPr>
      <w:t xml:space="preserve"> 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FB3D3" w14:textId="77777777" w:rsidR="00D6182A" w:rsidRDefault="00D6182A" w:rsidP="00D6182A">
      <w:pPr>
        <w:spacing w:after="0" w:line="240" w:lineRule="auto"/>
      </w:pPr>
      <w:r>
        <w:separator/>
      </w:r>
    </w:p>
  </w:footnote>
  <w:footnote w:type="continuationSeparator" w:id="0">
    <w:p w14:paraId="0F1C25E5" w14:textId="77777777" w:rsidR="00D6182A" w:rsidRDefault="00D6182A" w:rsidP="00D61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7F30" w14:textId="358F0CE8" w:rsidR="00D6182A" w:rsidRDefault="00D6182A">
    <w:pPr>
      <w:pStyle w:val="Header"/>
    </w:pPr>
    <w:r w:rsidRPr="00B22619">
      <w:rPr>
        <w:noProof/>
      </w:rPr>
      <w:drawing>
        <wp:inline distT="0" distB="0" distL="0" distR="0" wp14:anchorId="246A840D" wp14:editId="7A30FE7C">
          <wp:extent cx="5731510" cy="1082040"/>
          <wp:effectExtent l="0" t="0" r="254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7418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82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E5FC2"/>
    <w:multiLevelType w:val="hybridMultilevel"/>
    <w:tmpl w:val="E24AB5F4"/>
    <w:lvl w:ilvl="0" w:tplc="6016AD4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A007F"/>
    <w:multiLevelType w:val="hybridMultilevel"/>
    <w:tmpl w:val="F970C3F2"/>
    <w:lvl w:ilvl="0" w:tplc="1584D6E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EFF17A8"/>
    <w:multiLevelType w:val="hybridMultilevel"/>
    <w:tmpl w:val="88B4EBA6"/>
    <w:lvl w:ilvl="0" w:tplc="1BC24CB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041446"/>
    <w:multiLevelType w:val="hybridMultilevel"/>
    <w:tmpl w:val="2B42071C"/>
    <w:lvl w:ilvl="0" w:tplc="088AE28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6F037DF"/>
    <w:multiLevelType w:val="hybridMultilevel"/>
    <w:tmpl w:val="1EECA6BE"/>
    <w:lvl w:ilvl="0" w:tplc="151669E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8E530E6"/>
    <w:multiLevelType w:val="hybridMultilevel"/>
    <w:tmpl w:val="3C54B8D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91F6E00"/>
    <w:multiLevelType w:val="hybridMultilevel"/>
    <w:tmpl w:val="EA044BAE"/>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9C37BFD"/>
    <w:multiLevelType w:val="hybridMultilevel"/>
    <w:tmpl w:val="ABE89246"/>
    <w:lvl w:ilvl="0" w:tplc="EE246F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38933076">
    <w:abstractNumId w:val="5"/>
  </w:num>
  <w:num w:numId="2" w16cid:durableId="863328698">
    <w:abstractNumId w:val="2"/>
  </w:num>
  <w:num w:numId="3" w16cid:durableId="816382071">
    <w:abstractNumId w:val="1"/>
  </w:num>
  <w:num w:numId="4" w16cid:durableId="1651402678">
    <w:abstractNumId w:val="6"/>
  </w:num>
  <w:num w:numId="5" w16cid:durableId="1508253871">
    <w:abstractNumId w:val="3"/>
  </w:num>
  <w:num w:numId="6" w16cid:durableId="2046828766">
    <w:abstractNumId w:val="4"/>
  </w:num>
  <w:num w:numId="7" w16cid:durableId="1187720497">
    <w:abstractNumId w:val="7"/>
  </w:num>
  <w:num w:numId="8" w16cid:durableId="732889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2A"/>
    <w:rsid w:val="001A3C25"/>
    <w:rsid w:val="00231FE1"/>
    <w:rsid w:val="00377AB1"/>
    <w:rsid w:val="003D585E"/>
    <w:rsid w:val="00C06E1E"/>
    <w:rsid w:val="00D618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2422C"/>
  <w15:chartTrackingRefBased/>
  <w15:docId w15:val="{562E8A45-E522-4157-9EB7-9FD3E4A7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82A"/>
  </w:style>
  <w:style w:type="paragraph" w:styleId="Footer">
    <w:name w:val="footer"/>
    <w:basedOn w:val="Normal"/>
    <w:link w:val="FooterChar"/>
    <w:uiPriority w:val="99"/>
    <w:unhideWhenUsed/>
    <w:rsid w:val="00D61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82A"/>
  </w:style>
  <w:style w:type="table" w:styleId="TableGrid">
    <w:name w:val="Table Grid"/>
    <w:basedOn w:val="TableNormal"/>
    <w:uiPriority w:val="39"/>
    <w:rsid w:val="001A3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7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Geisler</dc:creator>
  <cp:keywords/>
  <dc:description/>
  <cp:lastModifiedBy>Kathryn Geisler</cp:lastModifiedBy>
  <cp:revision>4</cp:revision>
  <dcterms:created xsi:type="dcterms:W3CDTF">2024-02-26T00:03:00Z</dcterms:created>
  <dcterms:modified xsi:type="dcterms:W3CDTF">2024-09-13T03:50:00Z</dcterms:modified>
</cp:coreProperties>
</file>